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534E" w14:textId="4BF1D606" w:rsidR="001416BF" w:rsidRDefault="001A5EAE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color w:val="222222"/>
          <w:sz w:val="40"/>
          <w:szCs w:val="40"/>
          <w:highlight w:val="white"/>
        </w:rPr>
      </w:pPr>
      <w:r>
        <w:rPr>
          <w:rFonts w:ascii="Century Gothic" w:eastAsia="Century Gothic" w:hAnsi="Century Gothic" w:cs="Century Gothic"/>
          <w:b/>
          <w:color w:val="222222"/>
          <w:sz w:val="32"/>
          <w:szCs w:val="32"/>
          <w:highlight w:val="white"/>
        </w:rPr>
        <w:t xml:space="preserve">PSPS </w:t>
      </w:r>
      <w:r w:rsidR="00CF6172">
        <w:rPr>
          <w:rFonts w:ascii="Century Gothic" w:eastAsia="Century Gothic" w:hAnsi="Century Gothic" w:cs="Century Gothic"/>
          <w:b/>
          <w:color w:val="222222"/>
          <w:sz w:val="32"/>
          <w:szCs w:val="32"/>
          <w:highlight w:val="white"/>
        </w:rPr>
        <w:t xml:space="preserve">Spinal and Pelvis Biomechanics </w:t>
      </w:r>
      <w:r>
        <w:rPr>
          <w:rFonts w:ascii="Century Gothic" w:eastAsia="Century Gothic" w:hAnsi="Century Gothic" w:cs="Century Gothic"/>
          <w:b/>
          <w:color w:val="222222"/>
          <w:sz w:val="32"/>
          <w:szCs w:val="32"/>
          <w:highlight w:val="white"/>
        </w:rPr>
        <w:t>Webinar</w:t>
      </w:r>
    </w:p>
    <w:p w14:paraId="5554CF5F" w14:textId="77777777" w:rsidR="001416BF" w:rsidRDefault="001A5EAE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</w:rPr>
        <w:t xml:space="preserve">May 23, 2023 - 6:30 </w:t>
      </w:r>
      <w:r>
        <w:rPr>
          <w:b/>
          <w:smallCaps/>
        </w:rPr>
        <w:t>pm</w:t>
      </w:r>
      <w:r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</w:rPr>
        <w:t xml:space="preserve"> PST</w:t>
      </w:r>
    </w:p>
    <w:p w14:paraId="31A4490D" w14:textId="43DD4247" w:rsidR="001416BF" w:rsidRDefault="001A5EAE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color w:val="373545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373545"/>
          <w:sz w:val="24"/>
          <w:szCs w:val="24"/>
        </w:rPr>
        <w:t xml:space="preserve">Moderated by </w:t>
      </w:r>
      <w:proofErr w:type="spellStart"/>
      <w:r w:rsidR="00B6418C">
        <w:rPr>
          <w:rFonts w:ascii="Century Gothic" w:eastAsia="Century Gothic" w:hAnsi="Century Gothic" w:cs="Century Gothic"/>
          <w:b/>
          <w:color w:val="373545"/>
          <w:sz w:val="24"/>
          <w:szCs w:val="24"/>
        </w:rPr>
        <w:t>Ramo</w:t>
      </w:r>
      <w:proofErr w:type="spellEnd"/>
      <w:r w:rsidR="00B6418C">
        <w:rPr>
          <w:rFonts w:ascii="Century Gothic" w:eastAsia="Century Gothic" w:hAnsi="Century Gothic" w:cs="Century Gothic"/>
          <w:b/>
          <w:color w:val="373545"/>
          <w:sz w:val="24"/>
          <w:szCs w:val="24"/>
        </w:rPr>
        <w:t xml:space="preserve"> Naidu, Md</w:t>
      </w:r>
    </w:p>
    <w:p w14:paraId="069353E3" w14:textId="77777777" w:rsidR="001416BF" w:rsidRDefault="001416BF">
      <w:pPr>
        <w:spacing w:after="0"/>
      </w:pPr>
    </w:p>
    <w:tbl>
      <w:tblPr>
        <w:tblStyle w:val="af9"/>
        <w:tblW w:w="9360" w:type="dxa"/>
        <w:jc w:val="center"/>
        <w:tblBorders>
          <w:top w:val="single" w:sz="4" w:space="0" w:color="FFE599"/>
          <w:left w:val="single" w:sz="4" w:space="0" w:color="FFE599"/>
          <w:bottom w:val="single" w:sz="4" w:space="0" w:color="FFE599"/>
          <w:right w:val="single" w:sz="4" w:space="0" w:color="FFE599"/>
          <w:insideH w:val="single" w:sz="4" w:space="0" w:color="FFE599"/>
          <w:insideV w:val="single" w:sz="4" w:space="0" w:color="FFE599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4140"/>
        <w:gridCol w:w="3360"/>
      </w:tblGrid>
      <w:tr w:rsidR="001416BF" w14:paraId="0BE4E9B4" w14:textId="77777777" w:rsidTr="001416BF">
        <w:trPr>
          <w:cantSplit/>
          <w:jc w:val="center"/>
        </w:trPr>
        <w:tc>
          <w:tcPr>
            <w:tcW w:w="1860" w:type="dxa"/>
            <w:shd w:val="clear" w:color="auto" w:fill="6A92AB"/>
            <w:vAlign w:val="center"/>
          </w:tcPr>
          <w:p w14:paraId="5D05EEF9" w14:textId="77777777" w:rsidR="001416BF" w:rsidRDefault="001A5EAE">
            <w:pPr>
              <w:spacing w:befor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4140" w:type="dxa"/>
            <w:shd w:val="clear" w:color="auto" w:fill="6A92AB"/>
            <w:vAlign w:val="center"/>
          </w:tcPr>
          <w:p w14:paraId="47ADB98C" w14:textId="77777777" w:rsidR="001416BF" w:rsidRDefault="001A5EAE">
            <w:pPr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Lecture Title</w:t>
            </w:r>
          </w:p>
        </w:tc>
        <w:tc>
          <w:tcPr>
            <w:tcW w:w="3360" w:type="dxa"/>
            <w:shd w:val="clear" w:color="auto" w:fill="6A92AB"/>
            <w:vAlign w:val="center"/>
          </w:tcPr>
          <w:p w14:paraId="6EB409B2" w14:textId="77777777" w:rsidR="001416BF" w:rsidRDefault="001A5EAE">
            <w:pPr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Presenter</w:t>
            </w:r>
          </w:p>
        </w:tc>
      </w:tr>
      <w:tr w:rsidR="001416BF" w14:paraId="226B0421" w14:textId="77777777" w:rsidTr="001416BF">
        <w:trPr>
          <w:cantSplit/>
          <w:jc w:val="center"/>
        </w:trPr>
        <w:tc>
          <w:tcPr>
            <w:tcW w:w="1860" w:type="dxa"/>
            <w:tcMar>
              <w:left w:w="0" w:type="dxa"/>
              <w:right w:w="0" w:type="dxa"/>
            </w:tcMar>
            <w:vAlign w:val="center"/>
          </w:tcPr>
          <w:p w14:paraId="67E65191" w14:textId="77777777" w:rsidR="001416BF" w:rsidRDefault="001A5EAE">
            <w:pPr>
              <w:jc w:val="center"/>
              <w:rPr>
                <w:b/>
                <w:color w:val="1A495D"/>
              </w:rPr>
            </w:pPr>
            <w:r>
              <w:rPr>
                <w:b/>
                <w:color w:val="1A495D"/>
              </w:rPr>
              <w:t>5 minutes</w:t>
            </w:r>
          </w:p>
        </w:tc>
        <w:tc>
          <w:tcPr>
            <w:tcW w:w="4140" w:type="dxa"/>
            <w:tcBorders>
              <w:top w:val="single" w:sz="8" w:space="0" w:color="FFE599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tcMar>
              <w:left w:w="0" w:type="dxa"/>
              <w:right w:w="0" w:type="dxa"/>
            </w:tcMar>
            <w:vAlign w:val="center"/>
          </w:tcPr>
          <w:p w14:paraId="09D403D7" w14:textId="77777777" w:rsidR="001416BF" w:rsidRDefault="001A5EAE">
            <w:pPr>
              <w:spacing w:before="0"/>
              <w:ind w:left="43"/>
            </w:pPr>
            <w:r>
              <w:t>Welcome/Introduction</w:t>
            </w:r>
          </w:p>
        </w:tc>
        <w:tc>
          <w:tcPr>
            <w:tcW w:w="336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5A4129E" w14:textId="1A44844C" w:rsidR="001416BF" w:rsidRDefault="00CF6172">
            <w:proofErr w:type="spellStart"/>
            <w:r>
              <w:t>Ramo</w:t>
            </w:r>
            <w:proofErr w:type="spellEnd"/>
            <w:r>
              <w:t xml:space="preserve"> Naidu</w:t>
            </w:r>
            <w:r w:rsidR="00B6418C">
              <w:t>,</w:t>
            </w:r>
            <w:r>
              <w:t xml:space="preserve"> MD</w:t>
            </w:r>
          </w:p>
        </w:tc>
      </w:tr>
      <w:tr w:rsidR="001416BF" w14:paraId="43DF72AA" w14:textId="77777777" w:rsidTr="001416BF">
        <w:trPr>
          <w:cantSplit/>
          <w:trHeight w:val="386"/>
          <w:jc w:val="center"/>
        </w:trPr>
        <w:tc>
          <w:tcPr>
            <w:tcW w:w="1860" w:type="dxa"/>
            <w:tcMar>
              <w:left w:w="0" w:type="dxa"/>
              <w:right w:w="0" w:type="dxa"/>
            </w:tcMar>
            <w:vAlign w:val="center"/>
          </w:tcPr>
          <w:p w14:paraId="7E8A1976" w14:textId="77777777" w:rsidR="001416BF" w:rsidRDefault="001A5EAE">
            <w:pPr>
              <w:jc w:val="center"/>
              <w:rPr>
                <w:b/>
                <w:color w:val="1A495D"/>
              </w:rPr>
            </w:pPr>
            <w:r>
              <w:rPr>
                <w:b/>
                <w:color w:val="1A495D"/>
              </w:rPr>
              <w:t>10 minutes</w:t>
            </w:r>
          </w:p>
        </w:tc>
        <w:tc>
          <w:tcPr>
            <w:tcW w:w="414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tcMar>
              <w:left w:w="0" w:type="dxa"/>
              <w:right w:w="0" w:type="dxa"/>
            </w:tcMar>
            <w:vAlign w:val="center"/>
          </w:tcPr>
          <w:p w14:paraId="12FFBBE8" w14:textId="3433BE8D" w:rsidR="001416BF" w:rsidRDefault="00CF6172">
            <w:pPr>
              <w:spacing w:before="0"/>
              <w:ind w:left="43"/>
            </w:pPr>
            <w:r>
              <w:t>Economy of the Human Skeleton</w:t>
            </w:r>
          </w:p>
        </w:tc>
        <w:tc>
          <w:tcPr>
            <w:tcW w:w="336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7D86674" w14:textId="51941DAB" w:rsidR="001416BF" w:rsidRDefault="00CF6172">
            <w:r>
              <w:t xml:space="preserve">Neal </w:t>
            </w:r>
            <w:proofErr w:type="spellStart"/>
            <w:r>
              <w:t>Shonnard</w:t>
            </w:r>
            <w:proofErr w:type="spellEnd"/>
            <w:r w:rsidR="00B6418C">
              <w:t>,</w:t>
            </w:r>
            <w:r>
              <w:t xml:space="preserve"> MD</w:t>
            </w:r>
          </w:p>
        </w:tc>
      </w:tr>
      <w:tr w:rsidR="001416BF" w14:paraId="3B0AE334" w14:textId="77777777" w:rsidTr="001416BF">
        <w:trPr>
          <w:cantSplit/>
          <w:trHeight w:val="161"/>
          <w:jc w:val="center"/>
        </w:trPr>
        <w:tc>
          <w:tcPr>
            <w:tcW w:w="1860" w:type="dxa"/>
            <w:tcMar>
              <w:left w:w="0" w:type="dxa"/>
              <w:right w:w="0" w:type="dxa"/>
            </w:tcMar>
            <w:vAlign w:val="center"/>
          </w:tcPr>
          <w:p w14:paraId="6E3ECDC7" w14:textId="77777777" w:rsidR="001416BF" w:rsidRDefault="001A5EAE">
            <w:pPr>
              <w:jc w:val="center"/>
              <w:rPr>
                <w:b/>
                <w:color w:val="1A495D"/>
              </w:rPr>
            </w:pPr>
            <w:r>
              <w:rPr>
                <w:b/>
                <w:color w:val="1A495D"/>
              </w:rPr>
              <w:t>10 minutes</w:t>
            </w:r>
          </w:p>
        </w:tc>
        <w:tc>
          <w:tcPr>
            <w:tcW w:w="414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tcMar>
              <w:left w:w="0" w:type="dxa"/>
              <w:right w:w="0" w:type="dxa"/>
            </w:tcMar>
            <w:vAlign w:val="center"/>
          </w:tcPr>
          <w:p w14:paraId="1E4B37C1" w14:textId="77777777" w:rsidR="001416BF" w:rsidRDefault="00CF6172">
            <w:pPr>
              <w:spacing w:before="0"/>
              <w:ind w:left="43"/>
            </w:pPr>
            <w:r>
              <w:t>Sacroiliac Joint Fusion and Pelvic Balance</w:t>
            </w:r>
          </w:p>
          <w:p w14:paraId="7A694C51" w14:textId="6148FC5F" w:rsidR="00CF6172" w:rsidRDefault="00CF6172">
            <w:pPr>
              <w:spacing w:before="0"/>
              <w:ind w:left="43"/>
            </w:pPr>
            <w:r>
              <w:t>Measuring Pelvic Tilt</w:t>
            </w:r>
          </w:p>
        </w:tc>
        <w:tc>
          <w:tcPr>
            <w:tcW w:w="336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A1B789" w14:textId="73CA5550" w:rsidR="001416BF" w:rsidRDefault="00CF6172">
            <w:proofErr w:type="spellStart"/>
            <w:r>
              <w:t>Ramo</w:t>
            </w:r>
            <w:proofErr w:type="spellEnd"/>
            <w:r>
              <w:t xml:space="preserve"> Naidu</w:t>
            </w:r>
            <w:r w:rsidR="00B6418C">
              <w:t>,</w:t>
            </w:r>
            <w:r w:rsidR="007571DB">
              <w:t xml:space="preserve"> MD, Michael Dorsi</w:t>
            </w:r>
            <w:r w:rsidR="00B6418C">
              <w:t>,</w:t>
            </w:r>
            <w:r w:rsidR="007571DB">
              <w:t xml:space="preserve"> </w:t>
            </w:r>
            <w:r>
              <w:t xml:space="preserve">MD and Neal </w:t>
            </w:r>
            <w:proofErr w:type="spellStart"/>
            <w:r>
              <w:t>Shonnard</w:t>
            </w:r>
            <w:proofErr w:type="spellEnd"/>
            <w:r w:rsidR="00B6418C">
              <w:t>,</w:t>
            </w:r>
            <w:r>
              <w:t xml:space="preserve"> MD</w:t>
            </w:r>
          </w:p>
        </w:tc>
      </w:tr>
      <w:tr w:rsidR="001416BF" w14:paraId="7BBF3687" w14:textId="77777777" w:rsidTr="001416BF">
        <w:trPr>
          <w:cantSplit/>
          <w:jc w:val="center"/>
        </w:trPr>
        <w:tc>
          <w:tcPr>
            <w:tcW w:w="1860" w:type="dxa"/>
            <w:tcMar>
              <w:left w:w="0" w:type="dxa"/>
              <w:right w:w="0" w:type="dxa"/>
            </w:tcMar>
            <w:vAlign w:val="center"/>
          </w:tcPr>
          <w:p w14:paraId="2BBB12F7" w14:textId="77777777" w:rsidR="001416BF" w:rsidRDefault="001A5EAE">
            <w:pPr>
              <w:jc w:val="center"/>
              <w:rPr>
                <w:b/>
                <w:color w:val="1A495D"/>
              </w:rPr>
            </w:pPr>
            <w:r>
              <w:rPr>
                <w:b/>
                <w:color w:val="1A495D"/>
              </w:rPr>
              <w:t>10 minutes</w:t>
            </w:r>
          </w:p>
        </w:tc>
        <w:tc>
          <w:tcPr>
            <w:tcW w:w="414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tcMar>
              <w:left w:w="0" w:type="dxa"/>
              <w:right w:w="0" w:type="dxa"/>
            </w:tcMar>
            <w:vAlign w:val="center"/>
          </w:tcPr>
          <w:p w14:paraId="45D37739" w14:textId="77777777" w:rsidR="001416BF" w:rsidRDefault="00CF6172">
            <w:pPr>
              <w:spacing w:before="0"/>
              <w:ind w:left="43"/>
            </w:pPr>
            <w:r>
              <w:t>Lumbar Fusion (Anterior vs Lateral vs Posterior, Standalone vs Adjunctive)</w:t>
            </w:r>
          </w:p>
          <w:p w14:paraId="42D355BD" w14:textId="7AD34AAE" w:rsidR="00CF6172" w:rsidRDefault="00CF6172">
            <w:pPr>
              <w:spacing w:before="0"/>
              <w:ind w:left="43"/>
            </w:pPr>
            <w:r>
              <w:t>Measuring Sagittal Balance and Cobb Angle</w:t>
            </w:r>
          </w:p>
        </w:tc>
        <w:tc>
          <w:tcPr>
            <w:tcW w:w="336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08CFC7E" w14:textId="72D50391" w:rsidR="001416BF" w:rsidRDefault="007571DB">
            <w:proofErr w:type="spellStart"/>
            <w:r>
              <w:t>Ramo</w:t>
            </w:r>
            <w:proofErr w:type="spellEnd"/>
            <w:r>
              <w:t xml:space="preserve"> Naidu</w:t>
            </w:r>
            <w:r w:rsidR="00B6418C">
              <w:t>,</w:t>
            </w:r>
            <w:r>
              <w:t xml:space="preserve"> MD, Michael Dorsi</w:t>
            </w:r>
            <w:r w:rsidR="00B6418C">
              <w:t>,</w:t>
            </w:r>
            <w:r>
              <w:t xml:space="preserve"> MD and Neal </w:t>
            </w:r>
            <w:proofErr w:type="spellStart"/>
            <w:r>
              <w:t>Shonnard</w:t>
            </w:r>
            <w:proofErr w:type="spellEnd"/>
            <w:r w:rsidR="00B6418C">
              <w:t>,</w:t>
            </w:r>
            <w:r>
              <w:t xml:space="preserve"> MD</w:t>
            </w:r>
          </w:p>
        </w:tc>
      </w:tr>
      <w:tr w:rsidR="001416BF" w14:paraId="0CBDD479" w14:textId="77777777" w:rsidTr="001416BF">
        <w:trPr>
          <w:cantSplit/>
          <w:jc w:val="center"/>
        </w:trPr>
        <w:tc>
          <w:tcPr>
            <w:tcW w:w="1860" w:type="dxa"/>
            <w:tcMar>
              <w:left w:w="0" w:type="dxa"/>
              <w:right w:w="0" w:type="dxa"/>
            </w:tcMar>
            <w:vAlign w:val="center"/>
          </w:tcPr>
          <w:p w14:paraId="719BC131" w14:textId="4B425963" w:rsidR="001416BF" w:rsidRDefault="00CF6172">
            <w:pPr>
              <w:jc w:val="center"/>
              <w:rPr>
                <w:b/>
                <w:color w:val="1A495D"/>
              </w:rPr>
            </w:pPr>
            <w:r>
              <w:rPr>
                <w:b/>
                <w:color w:val="1A495D"/>
              </w:rPr>
              <w:t>10 minutes</w:t>
            </w:r>
          </w:p>
        </w:tc>
        <w:tc>
          <w:tcPr>
            <w:tcW w:w="414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tcMar>
              <w:left w:w="0" w:type="dxa"/>
              <w:right w:w="0" w:type="dxa"/>
            </w:tcMar>
            <w:vAlign w:val="center"/>
          </w:tcPr>
          <w:p w14:paraId="6A3D02F1" w14:textId="77777777" w:rsidR="001416BF" w:rsidRDefault="00CF6172">
            <w:pPr>
              <w:spacing w:before="0"/>
              <w:ind w:left="43"/>
            </w:pPr>
            <w:r>
              <w:t>Cervical Fusion (ACDF vs CDR)</w:t>
            </w:r>
          </w:p>
          <w:p w14:paraId="7F4F6138" w14:textId="6E37D6CB" w:rsidR="00CF6172" w:rsidRDefault="00CF6172">
            <w:pPr>
              <w:spacing w:before="0"/>
              <w:ind w:left="43"/>
            </w:pPr>
            <w:r>
              <w:t>Measuring Sagittal Balance</w:t>
            </w:r>
          </w:p>
        </w:tc>
        <w:tc>
          <w:tcPr>
            <w:tcW w:w="336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3519B41" w14:textId="47713B66" w:rsidR="001416BF" w:rsidRDefault="007571DB">
            <w:r>
              <w:t>Michael Dorsi</w:t>
            </w:r>
            <w:r w:rsidR="00B6418C">
              <w:t>,</w:t>
            </w:r>
            <w:r w:rsidR="00CF6172">
              <w:t xml:space="preserve"> MD and Neal </w:t>
            </w:r>
            <w:proofErr w:type="spellStart"/>
            <w:r w:rsidR="00CF6172">
              <w:t>Shonnard</w:t>
            </w:r>
            <w:proofErr w:type="spellEnd"/>
            <w:r w:rsidR="00B6418C">
              <w:t>,</w:t>
            </w:r>
            <w:r w:rsidR="00CF6172">
              <w:t xml:space="preserve"> MD</w:t>
            </w:r>
          </w:p>
        </w:tc>
      </w:tr>
      <w:tr w:rsidR="001416BF" w14:paraId="5560C4D9" w14:textId="77777777" w:rsidTr="001416BF">
        <w:trPr>
          <w:cantSplit/>
          <w:jc w:val="center"/>
        </w:trPr>
        <w:tc>
          <w:tcPr>
            <w:tcW w:w="1860" w:type="dxa"/>
            <w:tcMar>
              <w:left w:w="0" w:type="dxa"/>
              <w:right w:w="0" w:type="dxa"/>
            </w:tcMar>
            <w:vAlign w:val="center"/>
          </w:tcPr>
          <w:p w14:paraId="698CE0D9" w14:textId="57C13C19" w:rsidR="001416BF" w:rsidRDefault="00CF6172">
            <w:pPr>
              <w:jc w:val="center"/>
              <w:rPr>
                <w:b/>
                <w:color w:val="1A495D"/>
              </w:rPr>
            </w:pPr>
            <w:r>
              <w:rPr>
                <w:b/>
                <w:color w:val="1A495D"/>
              </w:rPr>
              <w:t>5 minutes</w:t>
            </w:r>
          </w:p>
        </w:tc>
        <w:tc>
          <w:tcPr>
            <w:tcW w:w="414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tcMar>
              <w:left w:w="0" w:type="dxa"/>
              <w:right w:w="0" w:type="dxa"/>
            </w:tcMar>
            <w:vAlign w:val="center"/>
          </w:tcPr>
          <w:p w14:paraId="5C9ADC31" w14:textId="77777777" w:rsidR="001416BF" w:rsidRDefault="001A5EAE">
            <w:pPr>
              <w:spacing w:before="0"/>
              <w:ind w:left="43"/>
            </w:pPr>
            <w:r>
              <w:t>Q&amp;A</w:t>
            </w:r>
          </w:p>
        </w:tc>
        <w:tc>
          <w:tcPr>
            <w:tcW w:w="336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0CC36D8" w14:textId="5E009BA2" w:rsidR="001416BF" w:rsidRDefault="001A5EAE">
            <w:r>
              <w:t xml:space="preserve"> </w:t>
            </w:r>
            <w:proofErr w:type="spellStart"/>
            <w:r w:rsidR="007571DB">
              <w:t>Ramo</w:t>
            </w:r>
            <w:proofErr w:type="spellEnd"/>
            <w:r w:rsidR="007571DB">
              <w:t xml:space="preserve"> Naidu</w:t>
            </w:r>
            <w:r w:rsidR="00B6418C">
              <w:t>,</w:t>
            </w:r>
            <w:r w:rsidR="007571DB">
              <w:t xml:space="preserve"> MD</w:t>
            </w:r>
          </w:p>
        </w:tc>
      </w:tr>
      <w:tr w:rsidR="001416BF" w14:paraId="1B99094C" w14:textId="77777777" w:rsidTr="001416BF">
        <w:trPr>
          <w:cantSplit/>
          <w:jc w:val="center"/>
        </w:trPr>
        <w:tc>
          <w:tcPr>
            <w:tcW w:w="1860" w:type="dxa"/>
            <w:tcMar>
              <w:left w:w="0" w:type="dxa"/>
              <w:right w:w="0" w:type="dxa"/>
            </w:tcMar>
            <w:vAlign w:val="center"/>
          </w:tcPr>
          <w:p w14:paraId="7C6CA480" w14:textId="77777777" w:rsidR="001416BF" w:rsidRDefault="001A5EAE">
            <w:pPr>
              <w:jc w:val="center"/>
              <w:rPr>
                <w:b/>
                <w:color w:val="1A495D"/>
              </w:rPr>
            </w:pPr>
            <w:r>
              <w:rPr>
                <w:b/>
                <w:color w:val="1A495D"/>
              </w:rPr>
              <w:t>5 minutes</w:t>
            </w:r>
          </w:p>
        </w:tc>
        <w:tc>
          <w:tcPr>
            <w:tcW w:w="414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tcMar>
              <w:left w:w="0" w:type="dxa"/>
              <w:right w:w="0" w:type="dxa"/>
            </w:tcMar>
            <w:vAlign w:val="center"/>
          </w:tcPr>
          <w:p w14:paraId="6EEFC360" w14:textId="77777777" w:rsidR="001416BF" w:rsidRDefault="001A5EAE">
            <w:pPr>
              <w:spacing w:before="0"/>
              <w:ind w:left="43"/>
            </w:pPr>
            <w:r>
              <w:t>Closing Remarks</w:t>
            </w:r>
          </w:p>
        </w:tc>
        <w:tc>
          <w:tcPr>
            <w:tcW w:w="336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F2723E5" w14:textId="46AAB76F" w:rsidR="001416BF" w:rsidRDefault="007571DB">
            <w:proofErr w:type="spellStart"/>
            <w:r>
              <w:t>Ramo</w:t>
            </w:r>
            <w:proofErr w:type="spellEnd"/>
            <w:r>
              <w:t xml:space="preserve"> Naidu</w:t>
            </w:r>
            <w:r w:rsidR="00B6418C">
              <w:t>,</w:t>
            </w:r>
            <w:r>
              <w:t xml:space="preserve"> MD, Michael Dorsi</w:t>
            </w:r>
            <w:r w:rsidR="00B6418C">
              <w:t>,</w:t>
            </w:r>
            <w:r>
              <w:t xml:space="preserve"> MD and Neal </w:t>
            </w:r>
            <w:proofErr w:type="spellStart"/>
            <w:r>
              <w:t>Shonnard</w:t>
            </w:r>
            <w:proofErr w:type="spellEnd"/>
            <w:r w:rsidR="00B6418C">
              <w:t>,</w:t>
            </w:r>
            <w:r>
              <w:t xml:space="preserve"> MD</w:t>
            </w:r>
          </w:p>
        </w:tc>
      </w:tr>
    </w:tbl>
    <w:p w14:paraId="59065AE3" w14:textId="77777777" w:rsidR="001416BF" w:rsidRDefault="001416BF">
      <w:pPr>
        <w:spacing w:after="0"/>
      </w:pPr>
    </w:p>
    <w:p w14:paraId="63D98BBB" w14:textId="77777777" w:rsidR="001416BF" w:rsidRDefault="001416BF"/>
    <w:sectPr w:rsidR="001416BF">
      <w:footerReference w:type="default" r:id="rId7"/>
      <w:headerReference w:type="first" r:id="rId8"/>
      <w:pgSz w:w="12240" w:h="15840"/>
      <w:pgMar w:top="144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4119" w14:textId="77777777" w:rsidR="00484E39" w:rsidRDefault="00484E39">
      <w:pPr>
        <w:spacing w:after="0" w:line="240" w:lineRule="auto"/>
      </w:pPr>
      <w:r>
        <w:separator/>
      </w:r>
    </w:p>
  </w:endnote>
  <w:endnote w:type="continuationSeparator" w:id="0">
    <w:p w14:paraId="095D3FBA" w14:textId="77777777" w:rsidR="00484E39" w:rsidRDefault="0048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41B5" w14:textId="77777777" w:rsidR="001416BF" w:rsidRDefault="001A5E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484E39"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936F" w14:textId="77777777" w:rsidR="00484E39" w:rsidRDefault="00484E39">
      <w:pPr>
        <w:spacing w:after="0" w:line="240" w:lineRule="auto"/>
      </w:pPr>
      <w:r>
        <w:separator/>
      </w:r>
    </w:p>
  </w:footnote>
  <w:footnote w:type="continuationSeparator" w:id="0">
    <w:p w14:paraId="7360B92C" w14:textId="77777777" w:rsidR="00484E39" w:rsidRDefault="0048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B25D" w14:textId="77777777" w:rsidR="001416BF" w:rsidRDefault="001A5EAE">
    <w:pPr>
      <w:jc w:val="center"/>
    </w:pPr>
    <w:r>
      <w:rPr>
        <w:noProof/>
      </w:rPr>
      <w:drawing>
        <wp:inline distT="114300" distB="114300" distL="114300" distR="114300" wp14:anchorId="2679DAC9" wp14:editId="2BCB0565">
          <wp:extent cx="1481138" cy="1481138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138" cy="1481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BF"/>
    <w:rsid w:val="000F2BD9"/>
    <w:rsid w:val="001079A0"/>
    <w:rsid w:val="001416BF"/>
    <w:rsid w:val="00170A8E"/>
    <w:rsid w:val="001A5EAE"/>
    <w:rsid w:val="00484E39"/>
    <w:rsid w:val="00667FEA"/>
    <w:rsid w:val="007571DB"/>
    <w:rsid w:val="008E2DDC"/>
    <w:rsid w:val="00955509"/>
    <w:rsid w:val="00B6418C"/>
    <w:rsid w:val="00C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ACE47"/>
  <w15:docId w15:val="{6A3D7043-655D-2549-9EB1-7B1E3216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60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6E"/>
  </w:style>
  <w:style w:type="table" w:customStyle="1" w:styleId="GridTable1Light-Accent41">
    <w:name w:val="Grid Table 1 Light - Accent 41"/>
    <w:basedOn w:val="TableNormal"/>
    <w:next w:val="GridTable1Light-Accent4"/>
    <w:uiPriority w:val="46"/>
    <w:rsid w:val="0060016E"/>
    <w:pPr>
      <w:spacing w:before="100" w:after="0" w:line="240" w:lineRule="auto"/>
    </w:pPr>
    <w:rPr>
      <w:rFonts w:eastAsia="Times New Roman"/>
      <w:lang w:eastAsia="ja-JP"/>
    </w:rPr>
    <w:tblPr>
      <w:tblStyleRowBandSize w:val="1"/>
      <w:tblStyleColBandSize w:val="1"/>
      <w:tblBorders>
        <w:top w:val="single" w:sz="4" w:space="0" w:color="C9D0D1"/>
        <w:left w:val="single" w:sz="4" w:space="0" w:color="C9D0D1"/>
        <w:bottom w:val="single" w:sz="4" w:space="0" w:color="C9D0D1"/>
        <w:right w:val="single" w:sz="4" w:space="0" w:color="C9D0D1"/>
        <w:insideH w:val="single" w:sz="4" w:space="0" w:color="C9D0D1"/>
        <w:insideV w:val="single" w:sz="4" w:space="0" w:color="C9D0D1"/>
      </w:tblBorders>
    </w:tblPr>
    <w:tblStylePr w:type="firstRow">
      <w:rPr>
        <w:b/>
        <w:bCs/>
      </w:rPr>
      <w:tblPr/>
      <w:tcPr>
        <w:tcBorders>
          <w:bottom w:val="single" w:sz="12" w:space="0" w:color="AFB9BB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016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43CF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100"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before="100"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before="100"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before="100"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Header">
    <w:name w:val="header"/>
    <w:basedOn w:val="Normal"/>
    <w:link w:val="HeaderChar"/>
    <w:uiPriority w:val="99"/>
    <w:unhideWhenUsed/>
    <w:rsid w:val="000F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5D"/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before="100"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9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b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d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0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1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3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4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7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9">
    <w:basedOn w:val="TableNormal"/>
    <w:pPr>
      <w:spacing w:before="10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12" w:space="0" w:color="AFB9BB"/>
        </w:tcBorders>
      </w:tcPr>
    </w:tblStylePr>
    <w:tblStylePr w:type="lastRow">
      <w:rPr>
        <w:b/>
      </w:rPr>
      <w:tblPr/>
      <w:tcPr>
        <w:tcBorders>
          <w:top w:val="single" w:sz="4" w:space="0" w:color="AFB9BB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Y/NnUjthhV1qy/+yq6mocidxXg==">AMUW2mXDgDm5lGcmxR6QVAks05XyIKVDEjgud2UgD0eR1e3BDSTwS8XCo2RHtTROhumjy0ND+rd+WweQQsIREF6yk/Dw7v0lASMOu1xOkjUyTKAm5HkHwnA=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Microsoft Office User</cp:lastModifiedBy>
  <cp:revision>3</cp:revision>
  <dcterms:created xsi:type="dcterms:W3CDTF">2023-05-19T16:36:00Z</dcterms:created>
  <dcterms:modified xsi:type="dcterms:W3CDTF">2023-05-22T13:50:00Z</dcterms:modified>
</cp:coreProperties>
</file>